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6AAF" w14:textId="007B4EB9" w:rsidR="00787BF8" w:rsidRPr="0049705F" w:rsidRDefault="001D326B" w:rsidP="0049705F">
      <w:pPr>
        <w:pStyle w:val="a3"/>
        <w:spacing w:before="30"/>
        <w:jc w:val="center"/>
        <w:rPr>
          <w:b/>
          <w:bCs/>
          <w:sz w:val="28"/>
          <w:szCs w:val="28"/>
        </w:rPr>
      </w:pPr>
      <w:r w:rsidRPr="0049705F">
        <w:rPr>
          <w:rFonts w:hint="eastAsia"/>
          <w:b/>
          <w:bCs/>
          <w:sz w:val="28"/>
          <w:szCs w:val="28"/>
        </w:rPr>
        <w:t>日本成人先天性心疾患学会</w:t>
      </w:r>
      <w:r w:rsidR="00FC0B66" w:rsidRPr="0049705F">
        <w:rPr>
          <w:b/>
          <w:bCs/>
          <w:sz w:val="28"/>
          <w:szCs w:val="28"/>
        </w:rPr>
        <w:t>研究補助金に関する内規</w:t>
      </w:r>
    </w:p>
    <w:p w14:paraId="64E4A273" w14:textId="77777777" w:rsidR="00787BF8" w:rsidRDefault="00787BF8">
      <w:pPr>
        <w:pStyle w:val="a3"/>
        <w:ind w:left="0"/>
      </w:pPr>
    </w:p>
    <w:p w14:paraId="3238FEC1" w14:textId="77777777" w:rsidR="00787BF8" w:rsidRDefault="00FC0B66">
      <w:pPr>
        <w:pStyle w:val="a3"/>
        <w:spacing w:before="159"/>
      </w:pPr>
      <w:r>
        <w:t>（目的）</w:t>
      </w:r>
    </w:p>
    <w:p w14:paraId="4F91F7F2" w14:textId="00C49DFC" w:rsidR="00787BF8" w:rsidRDefault="00FC0B66">
      <w:pPr>
        <w:pStyle w:val="a3"/>
        <w:spacing w:before="79" w:line="312" w:lineRule="auto"/>
        <w:ind w:left="915" w:right="118" w:hanging="814"/>
        <w:jc w:val="both"/>
      </w:pPr>
      <w:r>
        <w:rPr>
          <w:spacing w:val="-17"/>
        </w:rPr>
        <w:t>第１条</w:t>
      </w:r>
      <w:r w:rsidR="000825E8">
        <w:rPr>
          <w:rFonts w:hint="eastAsia"/>
          <w:spacing w:val="-17"/>
        </w:rPr>
        <w:t xml:space="preserve">　</w:t>
      </w:r>
      <w:r>
        <w:rPr>
          <w:spacing w:val="-17"/>
        </w:rPr>
        <w:t>この内規は、一般社団法人日本</w:t>
      </w:r>
      <w:r w:rsidR="008C52DB">
        <w:rPr>
          <w:rFonts w:hint="eastAsia"/>
          <w:spacing w:val="-17"/>
        </w:rPr>
        <w:t>成人先天性心疾患</w:t>
      </w:r>
      <w:r>
        <w:rPr>
          <w:spacing w:val="-17"/>
        </w:rPr>
        <w:t>学会（</w:t>
      </w:r>
      <w:r>
        <w:rPr>
          <w:spacing w:val="-28"/>
        </w:rPr>
        <w:t>以下「本会」という。</w:t>
      </w:r>
      <w:r>
        <w:rPr>
          <w:spacing w:val="-15"/>
        </w:rPr>
        <w:t>）</w:t>
      </w:r>
      <w:r>
        <w:rPr>
          <w:spacing w:val="-14"/>
        </w:rPr>
        <w:t>の</w:t>
      </w:r>
      <w:r w:rsidR="00B42B61">
        <w:rPr>
          <w:rFonts w:hint="eastAsia"/>
          <w:spacing w:val="-14"/>
        </w:rPr>
        <w:t>研究</w:t>
      </w:r>
      <w:r>
        <w:rPr>
          <w:spacing w:val="-14"/>
        </w:rPr>
        <w:t>プロ</w:t>
      </w:r>
      <w:r>
        <w:rPr>
          <w:spacing w:val="-22"/>
        </w:rPr>
        <w:t>ジェクトにおける研究補助金の取り扱いに関し、研究補助金等交付に関する規約に基づく必要な事項を定めることにより、その適正な実施を図ることを</w:t>
      </w:r>
      <w:r>
        <w:rPr>
          <w:spacing w:val="-15"/>
        </w:rPr>
        <w:t>目的とする。</w:t>
      </w:r>
    </w:p>
    <w:p w14:paraId="2DE1E3D8" w14:textId="77777777" w:rsidR="00787BF8" w:rsidRDefault="00787BF8">
      <w:pPr>
        <w:pStyle w:val="a3"/>
        <w:spacing w:before="6"/>
        <w:ind w:left="0"/>
        <w:rPr>
          <w:sz w:val="28"/>
        </w:rPr>
      </w:pPr>
    </w:p>
    <w:p w14:paraId="4DEEA2A5" w14:textId="77777777" w:rsidR="00787BF8" w:rsidRDefault="00FC0B66">
      <w:pPr>
        <w:pStyle w:val="a3"/>
      </w:pPr>
      <w:r>
        <w:t>（研究補助金）</w:t>
      </w:r>
    </w:p>
    <w:p w14:paraId="27F36433" w14:textId="6C8BF9E1" w:rsidR="006672AC" w:rsidRDefault="00FC0B66" w:rsidP="006672AC">
      <w:pPr>
        <w:pStyle w:val="a3"/>
        <w:spacing w:before="79"/>
      </w:pPr>
      <w:r>
        <w:t>第２条 プロジェクト</w:t>
      </w:r>
      <w:r w:rsidR="006F752D">
        <w:rPr>
          <w:rFonts w:hint="eastAsia"/>
        </w:rPr>
        <w:t>１</w:t>
      </w:r>
      <w:r>
        <w:t>件あたり</w:t>
      </w:r>
      <w:r w:rsidR="00534786">
        <w:rPr>
          <w:rFonts w:hint="eastAsia"/>
        </w:rPr>
        <w:t>1</w:t>
      </w:r>
      <w:r w:rsidR="00534786">
        <w:t>0</w:t>
      </w:r>
      <w:r>
        <w:t>万円（税込み）とする。</w:t>
      </w:r>
      <w:r w:rsidR="006672AC" w:rsidRPr="007B76C4">
        <w:rPr>
          <w:rFonts w:hint="eastAsia"/>
          <w:color w:val="000000" w:themeColor="text1"/>
        </w:rPr>
        <w:t>5件を上限とする。</w:t>
      </w:r>
    </w:p>
    <w:p w14:paraId="481E9D61" w14:textId="77777777" w:rsidR="00787BF8" w:rsidRDefault="00787BF8">
      <w:pPr>
        <w:pStyle w:val="a3"/>
        <w:spacing w:before="8"/>
        <w:ind w:left="0"/>
        <w:rPr>
          <w:sz w:val="33"/>
        </w:rPr>
      </w:pPr>
    </w:p>
    <w:p w14:paraId="59886DE0" w14:textId="77777777" w:rsidR="00787BF8" w:rsidRDefault="00FC0B66">
      <w:pPr>
        <w:pStyle w:val="a3"/>
        <w:spacing w:before="1"/>
      </w:pPr>
      <w:r>
        <w:t>（研究補助金の経理業務）</w:t>
      </w:r>
    </w:p>
    <w:p w14:paraId="61EC09D5" w14:textId="74D1418D" w:rsidR="00787BF8" w:rsidRPr="007B76C4" w:rsidRDefault="00FC0B66" w:rsidP="007B76C4">
      <w:pPr>
        <w:pStyle w:val="a3"/>
        <w:spacing w:before="82"/>
        <w:rPr>
          <w:color w:val="000000" w:themeColor="text1"/>
        </w:rPr>
      </w:pPr>
      <w:r>
        <w:t>第３条</w:t>
      </w:r>
      <w:r w:rsidR="008C52DB">
        <w:rPr>
          <w:rFonts w:hint="eastAsia"/>
        </w:rPr>
        <w:t xml:space="preserve">　</w:t>
      </w:r>
      <w:r>
        <w:t>研究補助金の経理業務は</w:t>
      </w:r>
      <w:r w:rsidR="0058323A">
        <w:rPr>
          <w:rFonts w:hint="eastAsia"/>
        </w:rPr>
        <w:t>本会</w:t>
      </w:r>
      <w:r>
        <w:t>事務局が行う。</w:t>
      </w:r>
      <w:r w:rsidR="001D150E">
        <w:rPr>
          <w:rFonts w:hint="eastAsia"/>
        </w:rPr>
        <w:t>研</w:t>
      </w:r>
      <w:r w:rsidR="001D150E" w:rsidRPr="007B76C4">
        <w:rPr>
          <w:rFonts w:hint="eastAsia"/>
          <w:color w:val="000000" w:themeColor="text1"/>
        </w:rPr>
        <w:t>究補助金</w:t>
      </w:r>
      <w:r w:rsidR="00DA121E" w:rsidRPr="007B76C4">
        <w:rPr>
          <w:rFonts w:hint="eastAsia"/>
          <w:color w:val="000000" w:themeColor="text1"/>
        </w:rPr>
        <w:t>は、</w:t>
      </w:r>
      <w:r w:rsidR="0058323A" w:rsidRPr="007B76C4">
        <w:rPr>
          <w:rFonts w:hint="eastAsia"/>
          <w:color w:val="000000" w:themeColor="text1"/>
        </w:rPr>
        <w:t>研究責任者</w:t>
      </w:r>
      <w:r w:rsidR="007B76C4">
        <w:rPr>
          <w:rFonts w:hint="eastAsia"/>
          <w:color w:val="000000" w:themeColor="text1"/>
        </w:rPr>
        <w:t>が領収書または請求書を添えて申請後</w:t>
      </w:r>
      <w:r w:rsidR="00DA121E" w:rsidRPr="007B76C4">
        <w:rPr>
          <w:rFonts w:hint="eastAsia"/>
          <w:color w:val="000000" w:themeColor="text1"/>
        </w:rPr>
        <w:t>、</w:t>
      </w:r>
      <w:r w:rsidR="0058323A" w:rsidRPr="007B76C4">
        <w:rPr>
          <w:rFonts w:hint="eastAsia"/>
          <w:color w:val="000000" w:themeColor="text1"/>
        </w:rPr>
        <w:t>本会事務局</w:t>
      </w:r>
      <w:r w:rsidR="00DA121E" w:rsidRPr="007B76C4">
        <w:rPr>
          <w:rFonts w:hint="eastAsia"/>
          <w:color w:val="000000" w:themeColor="text1"/>
        </w:rPr>
        <w:t>から支払われる</w:t>
      </w:r>
      <w:r w:rsidR="0058323A" w:rsidRPr="007B76C4">
        <w:rPr>
          <w:rFonts w:hint="eastAsia"/>
          <w:color w:val="000000" w:themeColor="text1"/>
        </w:rPr>
        <w:t>。</w:t>
      </w:r>
    </w:p>
    <w:p w14:paraId="374219F4" w14:textId="77777777" w:rsidR="00787BF8" w:rsidRDefault="00787BF8">
      <w:pPr>
        <w:pStyle w:val="a3"/>
        <w:ind w:left="0"/>
      </w:pPr>
    </w:p>
    <w:p w14:paraId="7DEA7CDB" w14:textId="77777777" w:rsidR="00787BF8" w:rsidRDefault="00FC0B66">
      <w:pPr>
        <w:pStyle w:val="a3"/>
        <w:spacing w:before="158"/>
      </w:pPr>
      <w:r>
        <w:t>（研究補助金の使途に関連する制限と関連書類）</w:t>
      </w:r>
    </w:p>
    <w:p w14:paraId="27C4C7E2" w14:textId="21FBB10C" w:rsidR="00787BF8" w:rsidRDefault="00FC0B66">
      <w:pPr>
        <w:pStyle w:val="a3"/>
        <w:spacing w:before="79" w:line="312" w:lineRule="auto"/>
        <w:ind w:right="122"/>
      </w:pPr>
      <w:r>
        <w:rPr>
          <w:spacing w:val="-21"/>
        </w:rPr>
        <w:t>第４条</w:t>
      </w:r>
      <w:r w:rsidR="000825E8">
        <w:rPr>
          <w:rFonts w:hint="eastAsia"/>
          <w:spacing w:val="-21"/>
        </w:rPr>
        <w:t xml:space="preserve">　</w:t>
      </w:r>
      <w:r>
        <w:rPr>
          <w:spacing w:val="-21"/>
        </w:rPr>
        <w:t>研究補助金を受けた者は、次の使途に対して制限を遵守し、また</w:t>
      </w:r>
      <w:r w:rsidR="003B5F3F">
        <w:rPr>
          <w:rFonts w:hint="eastAsia"/>
          <w:spacing w:val="-21"/>
        </w:rPr>
        <w:t>第５条に基づき</w:t>
      </w:r>
      <w:r>
        <w:rPr>
          <w:spacing w:val="-21"/>
        </w:rPr>
        <w:t>関連書類を提出しな</w:t>
      </w:r>
      <w:r>
        <w:rPr>
          <w:spacing w:val="-16"/>
        </w:rPr>
        <w:t>ければならない。</w:t>
      </w:r>
    </w:p>
    <w:p w14:paraId="5871F16E" w14:textId="4FC3D0BB" w:rsidR="005360C2" w:rsidRDefault="00FC0B66" w:rsidP="005360C2">
      <w:pPr>
        <w:pStyle w:val="a3"/>
        <w:spacing w:line="314" w:lineRule="auto"/>
        <w:ind w:left="951" w:right="114" w:hanging="567"/>
        <w:rPr>
          <w:spacing w:val="-21"/>
        </w:rPr>
      </w:pPr>
      <w:r>
        <w:rPr>
          <w:spacing w:val="-30"/>
        </w:rPr>
        <w:t>（１）</w:t>
      </w:r>
      <w:r>
        <w:rPr>
          <w:spacing w:val="-21"/>
        </w:rPr>
        <w:t>消耗品費</w:t>
      </w:r>
    </w:p>
    <w:p w14:paraId="624EB9C6" w14:textId="6F17F49A" w:rsidR="00787BF8" w:rsidRPr="00DA121E" w:rsidRDefault="00FC0B66" w:rsidP="00DA121E">
      <w:pPr>
        <w:pStyle w:val="a3"/>
        <w:spacing w:line="314" w:lineRule="auto"/>
        <w:ind w:left="951" w:right="114" w:firstLine="42"/>
        <w:rPr>
          <w:spacing w:val="-21"/>
        </w:rPr>
      </w:pPr>
      <w:r>
        <w:rPr>
          <w:spacing w:val="-21"/>
        </w:rPr>
        <w:t>研究の遂行に必要な物品であり、その性質上、使用するに従い消費され、</w:t>
      </w:r>
      <w:r>
        <w:rPr>
          <w:spacing w:val="-23"/>
        </w:rPr>
        <w:t>その性質が長期使用に適しないものを消耗品という。耐用年数１年以上かつ取得価格</w:t>
      </w:r>
      <w:r w:rsidR="00DA121E">
        <w:rPr>
          <w:rFonts w:hint="eastAsia"/>
          <w:spacing w:val="-23"/>
        </w:rPr>
        <w:t>10万円以上のもの</w:t>
      </w:r>
      <w:r>
        <w:t>は備品となり、</w:t>
      </w:r>
      <w:r w:rsidR="0039329E">
        <w:rPr>
          <w:rFonts w:hint="eastAsia"/>
        </w:rPr>
        <w:t>研究補助金からは支出できない。</w:t>
      </w:r>
    </w:p>
    <w:p w14:paraId="64F9E9C1" w14:textId="77777777" w:rsidR="005360C2" w:rsidRDefault="00FC0B66">
      <w:pPr>
        <w:pStyle w:val="a3"/>
        <w:spacing w:before="78" w:line="312" w:lineRule="auto"/>
        <w:ind w:left="951" w:right="114" w:hanging="567"/>
        <w:jc w:val="both"/>
        <w:rPr>
          <w:spacing w:val="-17"/>
        </w:rPr>
      </w:pPr>
      <w:r>
        <w:rPr>
          <w:spacing w:val="-15"/>
        </w:rPr>
        <w:t>（２）</w:t>
      </w:r>
      <w:r>
        <w:rPr>
          <w:spacing w:val="-17"/>
        </w:rPr>
        <w:t>人件費・謝金</w:t>
      </w:r>
    </w:p>
    <w:p w14:paraId="0139D719" w14:textId="0BF85ACC" w:rsidR="00787BF8" w:rsidRDefault="00FC0B66" w:rsidP="005360C2">
      <w:pPr>
        <w:pStyle w:val="a3"/>
        <w:spacing w:before="78" w:line="312" w:lineRule="auto"/>
        <w:ind w:left="951" w:right="114" w:firstLine="42"/>
        <w:jc w:val="both"/>
      </w:pPr>
      <w:r>
        <w:rPr>
          <w:spacing w:val="-17"/>
        </w:rPr>
        <w:t>研究事業の実施に必要な研究協力、実験補助、データ集計・入力、</w:t>
      </w:r>
      <w:r>
        <w:rPr>
          <w:spacing w:val="-25"/>
        </w:rPr>
        <w:t>資料整理、事務等を行う者の雇用に要する給与、賃金、賞与、保険料、各種手当等を</w:t>
      </w:r>
      <w:r>
        <w:rPr>
          <w:spacing w:val="-35"/>
        </w:rPr>
        <w:t>人件費という。研究</w:t>
      </w:r>
      <w:r w:rsidR="00D80218">
        <w:rPr>
          <w:rFonts w:hint="eastAsia"/>
          <w:spacing w:val="-35"/>
        </w:rPr>
        <w:t>責任</w:t>
      </w:r>
      <w:r>
        <w:rPr>
          <w:spacing w:val="-35"/>
        </w:rPr>
        <w:t>者、研究分担者には支給できない。研究の遂行に必要な知識、</w:t>
      </w:r>
      <w:r>
        <w:rPr>
          <w:spacing w:val="-22"/>
        </w:rPr>
        <w:t>情報又は技術の提供等を行った者に対する謝礼に要する経費を謝金という。研究補助</w:t>
      </w:r>
      <w:r>
        <w:rPr>
          <w:spacing w:val="-25"/>
        </w:rPr>
        <w:t>金を受けた者は、人件費・謝金を受ける者に対する出勤簿を提出し源泉徴収を行うこ</w:t>
      </w:r>
      <w:r>
        <w:rPr>
          <w:spacing w:val="-20"/>
        </w:rPr>
        <w:t>と。納税手続き</w:t>
      </w:r>
      <w:r w:rsidR="0058323A">
        <w:rPr>
          <w:rFonts w:hint="eastAsia"/>
          <w:spacing w:val="-20"/>
        </w:rPr>
        <w:t>について</w:t>
      </w:r>
      <w:r>
        <w:rPr>
          <w:spacing w:val="-20"/>
        </w:rPr>
        <w:t>は</w:t>
      </w:r>
      <w:r w:rsidR="0058323A">
        <w:rPr>
          <w:rFonts w:hint="eastAsia"/>
          <w:spacing w:val="-20"/>
        </w:rPr>
        <w:t>本会</w:t>
      </w:r>
      <w:r>
        <w:rPr>
          <w:spacing w:val="-20"/>
        </w:rPr>
        <w:t>事務局に確認すること。</w:t>
      </w:r>
    </w:p>
    <w:p w14:paraId="3376B323" w14:textId="77777777" w:rsidR="005360C2" w:rsidRDefault="00FC0B66">
      <w:pPr>
        <w:pStyle w:val="a3"/>
        <w:spacing w:line="312" w:lineRule="auto"/>
        <w:ind w:left="951" w:right="116" w:hanging="567"/>
        <w:jc w:val="both"/>
        <w:rPr>
          <w:spacing w:val="-17"/>
        </w:rPr>
      </w:pPr>
      <w:r>
        <w:rPr>
          <w:spacing w:val="-15"/>
        </w:rPr>
        <w:t>（３）</w:t>
      </w:r>
      <w:r>
        <w:rPr>
          <w:spacing w:val="-17"/>
        </w:rPr>
        <w:t>旅費</w:t>
      </w:r>
    </w:p>
    <w:p w14:paraId="22FD785B" w14:textId="2E255D41" w:rsidR="00787BF8" w:rsidRDefault="00FC0B66" w:rsidP="005360C2">
      <w:pPr>
        <w:pStyle w:val="a3"/>
        <w:spacing w:line="312" w:lineRule="auto"/>
        <w:ind w:left="951" w:right="116" w:firstLine="42"/>
        <w:jc w:val="both"/>
      </w:pPr>
      <w:r>
        <w:rPr>
          <w:spacing w:val="-17"/>
        </w:rPr>
        <w:t>研究の遂行に必要な交通機関による移動費用を旅費という。研究</w:t>
      </w:r>
      <w:r w:rsidR="00D80218">
        <w:rPr>
          <w:rFonts w:hint="eastAsia"/>
          <w:spacing w:val="-17"/>
        </w:rPr>
        <w:t>責任</w:t>
      </w:r>
      <w:r>
        <w:rPr>
          <w:spacing w:val="-17"/>
        </w:rPr>
        <w:t>者、研</w:t>
      </w:r>
      <w:r>
        <w:rPr>
          <w:spacing w:val="-25"/>
        </w:rPr>
        <w:t>究分担者、研究協力者、講師等が対象となる。鉄道、船舶、航空機、バス等の乗車日</w:t>
      </w:r>
      <w:r>
        <w:rPr>
          <w:spacing w:val="-27"/>
        </w:rPr>
        <w:t>時と金額が明記されている資料</w:t>
      </w:r>
      <w:r>
        <w:rPr>
          <w:spacing w:val="-17"/>
        </w:rPr>
        <w:t>（</w:t>
      </w:r>
      <w:r>
        <w:rPr>
          <w:spacing w:val="-28"/>
        </w:rPr>
        <w:t>使用済みチケット、搭乗券半券等</w:t>
      </w:r>
      <w:r>
        <w:rPr>
          <w:spacing w:val="-108"/>
        </w:rPr>
        <w:t>）</w:t>
      </w:r>
      <w:r>
        <w:rPr>
          <w:spacing w:val="-18"/>
        </w:rPr>
        <w:t>を提出すること。</w:t>
      </w:r>
    </w:p>
    <w:p w14:paraId="7DB34813" w14:textId="77777777" w:rsidR="005360C2" w:rsidRDefault="00FC0B66">
      <w:pPr>
        <w:pStyle w:val="a3"/>
        <w:spacing w:line="302" w:lineRule="auto"/>
        <w:ind w:left="951" w:right="115" w:hanging="567"/>
        <w:jc w:val="both"/>
        <w:rPr>
          <w:spacing w:val="-18"/>
        </w:rPr>
      </w:pPr>
      <w:r>
        <w:rPr>
          <w:spacing w:val="-17"/>
        </w:rPr>
        <w:t>（４）</w:t>
      </w:r>
      <w:r>
        <w:rPr>
          <w:spacing w:val="-18"/>
        </w:rPr>
        <w:t>会議費</w:t>
      </w:r>
    </w:p>
    <w:p w14:paraId="70FEFD38" w14:textId="29A2BCFC" w:rsidR="00787BF8" w:rsidRDefault="00FC0B66">
      <w:pPr>
        <w:pStyle w:val="a3"/>
        <w:spacing w:line="302" w:lineRule="auto"/>
        <w:ind w:left="951" w:right="115" w:firstLine="42"/>
        <w:jc w:val="both"/>
        <w:rPr>
          <w:spacing w:val="-17"/>
        </w:rPr>
      </w:pPr>
      <w:r>
        <w:rPr>
          <w:spacing w:val="-18"/>
        </w:rPr>
        <w:t>研究の遂行に必要な会議における会場使用料、</w:t>
      </w:r>
      <w:r>
        <w:rPr>
          <w:rFonts w:ascii="Times New Roman" w:eastAsia="Times New Roman"/>
          <w:spacing w:val="-7"/>
        </w:rPr>
        <w:t xml:space="preserve">WEB </w:t>
      </w:r>
      <w:r>
        <w:rPr>
          <w:spacing w:val="-18"/>
        </w:rPr>
        <w:t>会議通信料、茶菓子・</w:t>
      </w:r>
      <w:r>
        <w:rPr>
          <w:spacing w:val="-23"/>
        </w:rPr>
        <w:t>弁当代等の飲食費用</w:t>
      </w:r>
      <w:r>
        <w:rPr>
          <w:spacing w:val="-17"/>
        </w:rPr>
        <w:t>（</w:t>
      </w:r>
      <w:r>
        <w:rPr>
          <w:spacing w:val="-20"/>
        </w:rPr>
        <w:t>アルコール類を除く</w:t>
      </w:r>
      <w:r>
        <w:rPr>
          <w:spacing w:val="-41"/>
        </w:rPr>
        <w:t>）</w:t>
      </w:r>
      <w:r>
        <w:rPr>
          <w:spacing w:val="-22"/>
        </w:rPr>
        <w:t>等を会議費という。</w:t>
      </w:r>
    </w:p>
    <w:p w14:paraId="6A208028" w14:textId="38C3BE36" w:rsidR="0039329E" w:rsidRDefault="0039329E" w:rsidP="0049705F">
      <w:pPr>
        <w:pStyle w:val="a3"/>
        <w:spacing w:line="302" w:lineRule="auto"/>
        <w:ind w:right="115" w:firstLineChars="147" w:firstLine="323"/>
        <w:jc w:val="both"/>
      </w:pPr>
      <w:r>
        <w:rPr>
          <w:rFonts w:hint="eastAsia"/>
        </w:rPr>
        <w:t>（５）その他の経費</w:t>
      </w:r>
    </w:p>
    <w:p w14:paraId="4864F296" w14:textId="0D674B2A" w:rsidR="0039329E" w:rsidRDefault="0039329E" w:rsidP="0049705F">
      <w:pPr>
        <w:pStyle w:val="a3"/>
        <w:spacing w:line="302" w:lineRule="auto"/>
        <w:ind w:right="115" w:firstLineChars="340" w:firstLine="748"/>
        <w:jc w:val="both"/>
      </w:pPr>
      <w:r>
        <w:rPr>
          <w:rFonts w:hint="eastAsia"/>
        </w:rPr>
        <w:t>資料印刷代、振込手数料、郵送費、学術誌への投稿および英文校正費。</w:t>
      </w:r>
    </w:p>
    <w:p w14:paraId="01454199" w14:textId="77777777" w:rsidR="00787BF8" w:rsidRDefault="00787BF8">
      <w:pPr>
        <w:pStyle w:val="a3"/>
        <w:spacing w:before="2"/>
        <w:ind w:left="0"/>
        <w:rPr>
          <w:sz w:val="28"/>
        </w:rPr>
      </w:pPr>
    </w:p>
    <w:p w14:paraId="58F24A32" w14:textId="77777777" w:rsidR="00787BF8" w:rsidRDefault="00FC0B66">
      <w:pPr>
        <w:pStyle w:val="a3"/>
      </w:pPr>
      <w:r>
        <w:t>（関係書類の保管整理および提出）</w:t>
      </w:r>
    </w:p>
    <w:p w14:paraId="6215422B" w14:textId="6B347981" w:rsidR="00787BF8" w:rsidRDefault="00FC0B66">
      <w:pPr>
        <w:pStyle w:val="a3"/>
        <w:spacing w:before="80" w:line="307" w:lineRule="auto"/>
        <w:ind w:right="118"/>
        <w:jc w:val="both"/>
        <w:rPr>
          <w:spacing w:val="-20"/>
        </w:rPr>
      </w:pPr>
      <w:r>
        <w:rPr>
          <w:spacing w:val="-20"/>
        </w:rPr>
        <w:t>第５条</w:t>
      </w:r>
      <w:r w:rsidR="00020B46">
        <w:rPr>
          <w:rFonts w:hint="eastAsia"/>
          <w:spacing w:val="-20"/>
        </w:rPr>
        <w:t xml:space="preserve">　</w:t>
      </w:r>
      <w:r>
        <w:rPr>
          <w:spacing w:val="-20"/>
        </w:rPr>
        <w:t>研究補助金を受けた者は、各費用内容が研究の遂行に必要であることを説明できる領</w:t>
      </w:r>
      <w:r>
        <w:rPr>
          <w:spacing w:val="-16"/>
        </w:rPr>
        <w:t>収書</w:t>
      </w:r>
      <w:r>
        <w:rPr>
          <w:spacing w:val="-15"/>
        </w:rPr>
        <w:t>（</w:t>
      </w:r>
      <w:r>
        <w:rPr>
          <w:spacing w:val="-17"/>
        </w:rPr>
        <w:t>可能であれば請求書、見積書及び納品書</w:t>
      </w:r>
      <w:r>
        <w:rPr>
          <w:spacing w:val="-120"/>
        </w:rPr>
        <w:t>）</w:t>
      </w:r>
      <w:r>
        <w:rPr>
          <w:spacing w:val="-17"/>
        </w:rPr>
        <w:t>、その他必要な関係書類を日付順に整理保管</w:t>
      </w:r>
      <w:r>
        <w:rPr>
          <w:spacing w:val="-23"/>
        </w:rPr>
        <w:t>しなければならない。また、研究補助金を受けた者は、随時、学会事務局の求めに応じて速や</w:t>
      </w:r>
      <w:r>
        <w:rPr>
          <w:spacing w:val="-21"/>
        </w:rPr>
        <w:t>か</w:t>
      </w:r>
      <w:r>
        <w:rPr>
          <w:spacing w:val="-21"/>
        </w:rPr>
        <w:lastRenderedPageBreak/>
        <w:t>に会計帳簿および領収書等関係書類を提出しなければならない。さらに毎年</w:t>
      </w:r>
      <w:r w:rsidR="0058323A">
        <w:rPr>
          <w:rFonts w:hint="eastAsia"/>
          <w:spacing w:val="-15"/>
        </w:rPr>
        <w:t>度終了時</w:t>
      </w:r>
      <w:r>
        <w:rPr>
          <w:spacing w:val="-15"/>
        </w:rPr>
        <w:t>に</w:t>
      </w:r>
      <w:r w:rsidR="00CE27A5">
        <w:rPr>
          <w:rFonts w:hint="eastAsia"/>
          <w:spacing w:val="-15"/>
        </w:rPr>
        <w:t>収支決算を行い、</w:t>
      </w:r>
      <w:r>
        <w:rPr>
          <w:spacing w:val="-22"/>
        </w:rPr>
        <w:t>領収書等</w:t>
      </w:r>
      <w:r w:rsidR="0058323A">
        <w:rPr>
          <w:rFonts w:hint="eastAsia"/>
          <w:spacing w:val="-22"/>
        </w:rPr>
        <w:t>を含め会計</w:t>
      </w:r>
      <w:r>
        <w:rPr>
          <w:spacing w:val="-22"/>
        </w:rPr>
        <w:t>書類を事務局に提出しなければならない。</w:t>
      </w:r>
      <w:r w:rsidR="00CE27A5">
        <w:rPr>
          <w:rFonts w:hint="eastAsia"/>
          <w:spacing w:val="-22"/>
        </w:rPr>
        <w:t>研究終了時に残金が出た場合は、残金から振込手数料を引いた金額を、本会の指定する口座へ返金する。</w:t>
      </w:r>
      <w:r>
        <w:rPr>
          <w:spacing w:val="-22"/>
        </w:rPr>
        <w:t>応じない際には、</w:t>
      </w:r>
      <w:r w:rsidR="008C52DB">
        <w:rPr>
          <w:rFonts w:hint="eastAsia"/>
          <w:spacing w:val="-22"/>
        </w:rPr>
        <w:t>研究</w:t>
      </w:r>
      <w:r>
        <w:rPr>
          <w:spacing w:val="-20"/>
        </w:rPr>
        <w:t>委員会の審議の上、研究補助金の執行を中止する。</w:t>
      </w:r>
    </w:p>
    <w:p w14:paraId="5A553B90" w14:textId="12DAF84A" w:rsidR="00CE27A5" w:rsidRDefault="00CE27A5">
      <w:pPr>
        <w:pStyle w:val="a3"/>
        <w:spacing w:before="80" w:line="307" w:lineRule="auto"/>
        <w:ind w:right="118"/>
        <w:jc w:val="both"/>
        <w:rPr>
          <w:spacing w:val="-20"/>
        </w:rPr>
      </w:pPr>
    </w:p>
    <w:p w14:paraId="64986767" w14:textId="77777777" w:rsidR="00787BF8" w:rsidRDefault="00787BF8">
      <w:pPr>
        <w:pStyle w:val="a3"/>
        <w:spacing w:before="8"/>
        <w:ind w:left="0"/>
        <w:rPr>
          <w:sz w:val="29"/>
        </w:rPr>
      </w:pPr>
    </w:p>
    <w:p w14:paraId="45C3B6F4" w14:textId="69CE0555" w:rsidR="00787BF8" w:rsidRDefault="00FC0B66">
      <w:pPr>
        <w:pStyle w:val="a3"/>
      </w:pPr>
      <w:r>
        <w:rPr>
          <w:spacing w:val="2"/>
        </w:rPr>
        <w:t>附 則 この内規は、</w:t>
      </w:r>
      <w:r w:rsidR="003B5F3F">
        <w:rPr>
          <w:rFonts w:hint="eastAsia"/>
          <w:spacing w:val="2"/>
        </w:rPr>
        <w:t>本会理事会の承認に基づき、</w:t>
      </w:r>
      <w:r>
        <w:rPr>
          <w:spacing w:val="2"/>
        </w:rPr>
        <w:t>令和</w:t>
      </w:r>
      <w:r w:rsidR="006F752D">
        <w:rPr>
          <w:rFonts w:hint="eastAsia"/>
          <w:spacing w:val="2"/>
        </w:rPr>
        <w:t>３</w:t>
      </w:r>
      <w:r>
        <w:rPr>
          <w:spacing w:val="36"/>
        </w:rPr>
        <w:t>年</w:t>
      </w:r>
      <w:r w:rsidR="006F752D">
        <w:rPr>
          <w:rFonts w:hint="eastAsia"/>
          <w:spacing w:val="36"/>
        </w:rPr>
        <w:t>６</w:t>
      </w:r>
      <w:r>
        <w:rPr>
          <w:spacing w:val="36"/>
        </w:rPr>
        <w:t>月</w:t>
      </w:r>
      <w:r w:rsidR="006F752D">
        <w:rPr>
          <w:rFonts w:hint="eastAsia"/>
          <w:spacing w:val="36"/>
        </w:rPr>
        <w:t>１</w:t>
      </w:r>
      <w:r>
        <w:rPr>
          <w:spacing w:val="-17"/>
        </w:rPr>
        <w:t>日から施行する。</w:t>
      </w:r>
    </w:p>
    <w:sectPr w:rsidR="00787BF8">
      <w:type w:val="continuous"/>
      <w:pgSz w:w="11910" w:h="16840"/>
      <w:pgMar w:top="820" w:right="15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C9CE" w14:textId="77777777" w:rsidR="00FD10EC" w:rsidRDefault="00FD10EC" w:rsidP="001D326B">
      <w:r>
        <w:separator/>
      </w:r>
    </w:p>
  </w:endnote>
  <w:endnote w:type="continuationSeparator" w:id="0">
    <w:p w14:paraId="0F85D657" w14:textId="77777777" w:rsidR="00FD10EC" w:rsidRDefault="00FD10EC" w:rsidP="001D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F3F0" w14:textId="77777777" w:rsidR="00FD10EC" w:rsidRDefault="00FD10EC" w:rsidP="001D326B">
      <w:r>
        <w:separator/>
      </w:r>
    </w:p>
  </w:footnote>
  <w:footnote w:type="continuationSeparator" w:id="0">
    <w:p w14:paraId="5EA8446C" w14:textId="77777777" w:rsidR="00FD10EC" w:rsidRDefault="00FD10EC" w:rsidP="001D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F8"/>
    <w:rsid w:val="00017822"/>
    <w:rsid w:val="00020B46"/>
    <w:rsid w:val="000825E8"/>
    <w:rsid w:val="00194677"/>
    <w:rsid w:val="001D150E"/>
    <w:rsid w:val="001D326B"/>
    <w:rsid w:val="002533CD"/>
    <w:rsid w:val="00286C22"/>
    <w:rsid w:val="00377A10"/>
    <w:rsid w:val="0039329E"/>
    <w:rsid w:val="003B5F3F"/>
    <w:rsid w:val="00460EA1"/>
    <w:rsid w:val="0049705F"/>
    <w:rsid w:val="004D0DDD"/>
    <w:rsid w:val="00534786"/>
    <w:rsid w:val="005360C2"/>
    <w:rsid w:val="0058323A"/>
    <w:rsid w:val="005E745C"/>
    <w:rsid w:val="00606554"/>
    <w:rsid w:val="006672AC"/>
    <w:rsid w:val="006F752D"/>
    <w:rsid w:val="00730251"/>
    <w:rsid w:val="00787BF8"/>
    <w:rsid w:val="007B76C4"/>
    <w:rsid w:val="007D3352"/>
    <w:rsid w:val="008C52DB"/>
    <w:rsid w:val="0093282D"/>
    <w:rsid w:val="00985D1A"/>
    <w:rsid w:val="00A166B6"/>
    <w:rsid w:val="00B42B61"/>
    <w:rsid w:val="00B74263"/>
    <w:rsid w:val="00CE27A5"/>
    <w:rsid w:val="00D31EBA"/>
    <w:rsid w:val="00D80218"/>
    <w:rsid w:val="00DA121E"/>
    <w:rsid w:val="00F94DD3"/>
    <w:rsid w:val="00FB6D75"/>
    <w:rsid w:val="00FC0B66"/>
    <w:rsid w:val="00FD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6B2C2"/>
  <w15:docId w15:val="{E3A85A4F-6EA6-1345-8697-EAF92F3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D326B"/>
    <w:pPr>
      <w:tabs>
        <w:tab w:val="center" w:pos="4252"/>
        <w:tab w:val="right" w:pos="8504"/>
      </w:tabs>
      <w:snapToGrid w:val="0"/>
    </w:pPr>
  </w:style>
  <w:style w:type="character" w:customStyle="1" w:styleId="a6">
    <w:name w:val="ヘッダー (文字)"/>
    <w:basedOn w:val="a0"/>
    <w:link w:val="a5"/>
    <w:uiPriority w:val="99"/>
    <w:rsid w:val="001D326B"/>
    <w:rPr>
      <w:rFonts w:ascii="ＭＳ 明朝" w:eastAsia="ＭＳ 明朝" w:hAnsi="ＭＳ 明朝" w:cs="ＭＳ 明朝"/>
      <w:lang w:eastAsia="ja-JP"/>
    </w:rPr>
  </w:style>
  <w:style w:type="paragraph" w:styleId="a7">
    <w:name w:val="footer"/>
    <w:basedOn w:val="a"/>
    <w:link w:val="a8"/>
    <w:uiPriority w:val="99"/>
    <w:unhideWhenUsed/>
    <w:rsid w:val="001D326B"/>
    <w:pPr>
      <w:tabs>
        <w:tab w:val="center" w:pos="4252"/>
        <w:tab w:val="right" w:pos="8504"/>
      </w:tabs>
      <w:snapToGrid w:val="0"/>
    </w:pPr>
  </w:style>
  <w:style w:type="character" w:customStyle="1" w:styleId="a8">
    <w:name w:val="フッター (文字)"/>
    <w:basedOn w:val="a0"/>
    <w:link w:val="a7"/>
    <w:uiPriority w:val="99"/>
    <w:rsid w:val="001D326B"/>
    <w:rPr>
      <w:rFonts w:ascii="ＭＳ 明朝" w:eastAsia="ＭＳ 明朝" w:hAnsi="ＭＳ 明朝" w:cs="ＭＳ 明朝"/>
      <w:lang w:eastAsia="ja-JP"/>
    </w:rPr>
  </w:style>
  <w:style w:type="character" w:styleId="a9">
    <w:name w:val="annotation reference"/>
    <w:basedOn w:val="a0"/>
    <w:uiPriority w:val="99"/>
    <w:semiHidden/>
    <w:unhideWhenUsed/>
    <w:rsid w:val="00377A10"/>
    <w:rPr>
      <w:sz w:val="18"/>
      <w:szCs w:val="18"/>
    </w:rPr>
  </w:style>
  <w:style w:type="paragraph" w:styleId="aa">
    <w:name w:val="annotation text"/>
    <w:basedOn w:val="a"/>
    <w:link w:val="ab"/>
    <w:uiPriority w:val="99"/>
    <w:semiHidden/>
    <w:unhideWhenUsed/>
    <w:rsid w:val="00377A10"/>
  </w:style>
  <w:style w:type="character" w:customStyle="1" w:styleId="ab">
    <w:name w:val="コメント文字列 (文字)"/>
    <w:basedOn w:val="a0"/>
    <w:link w:val="aa"/>
    <w:uiPriority w:val="99"/>
    <w:semiHidden/>
    <w:rsid w:val="00377A10"/>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377A10"/>
    <w:rPr>
      <w:b/>
      <w:bCs/>
    </w:rPr>
  </w:style>
  <w:style w:type="character" w:customStyle="1" w:styleId="ad">
    <w:name w:val="コメント内容 (文字)"/>
    <w:basedOn w:val="ab"/>
    <w:link w:val="ac"/>
    <w:uiPriority w:val="99"/>
    <w:semiHidden/>
    <w:rsid w:val="00377A10"/>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SAKURA-HK</dc:creator>
  <cp:lastModifiedBy>落合 亮太</cp:lastModifiedBy>
  <cp:revision>30</cp:revision>
  <dcterms:created xsi:type="dcterms:W3CDTF">2021-01-08T11:33:00Z</dcterms:created>
  <dcterms:modified xsi:type="dcterms:W3CDTF">2021-08-23T06:30:00Z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2013</vt:lpwstr>
  </property>
  <property fmtid="{D5CDD505-2E9C-101B-9397-08002B2CF9AE}" pid="4" name="LastSaved">
    <vt:filetime>2021-01-08T00:00:00Z</vt:filetime>
  </property>
</Properties>
</file>